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516" w:rsidRDefault="00F74EFF">
      <w:pPr>
        <w:tabs>
          <w:tab w:val="left" w:pos="7550"/>
        </w:tabs>
        <w:ind w:left="120"/>
        <w:rPr>
          <w:rFonts w:ascii="Times New Roman"/>
          <w:sz w:val="20"/>
        </w:rPr>
      </w:pPr>
      <w:r>
        <w:rPr>
          <w:rFonts w:ascii="Times New Roman"/>
          <w:noProof/>
          <w:sz w:val="20"/>
          <w:lang w:eastAsia="el-GR"/>
        </w:rPr>
        <w:drawing>
          <wp:inline distT="0" distB="0" distL="0" distR="0">
            <wp:extent cx="521208" cy="5212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21208" cy="521207"/>
                    </a:xfrm>
                    <a:prstGeom prst="rect">
                      <a:avLst/>
                    </a:prstGeom>
                  </pic:spPr>
                </pic:pic>
              </a:graphicData>
            </a:graphic>
          </wp:inline>
        </w:drawing>
      </w:r>
      <w:r>
        <w:rPr>
          <w:rFonts w:ascii="Times New Roman"/>
          <w:sz w:val="20"/>
        </w:rPr>
        <w:tab/>
      </w:r>
      <w:r>
        <w:rPr>
          <w:rFonts w:ascii="Times New Roman"/>
          <w:noProof/>
          <w:position w:val="12"/>
          <w:sz w:val="20"/>
          <w:lang w:eastAsia="el-GR"/>
        </w:rPr>
        <w:drawing>
          <wp:inline distT="0" distB="0" distL="0" distR="0">
            <wp:extent cx="526780" cy="53035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26780" cy="530351"/>
                    </a:xfrm>
                    <a:prstGeom prst="rect">
                      <a:avLst/>
                    </a:prstGeom>
                  </pic:spPr>
                </pic:pic>
              </a:graphicData>
            </a:graphic>
          </wp:inline>
        </w:drawing>
      </w:r>
    </w:p>
    <w:p w:rsidR="002F7516" w:rsidRDefault="002F7516">
      <w:pPr>
        <w:pStyle w:val="a3"/>
        <w:rPr>
          <w:rFonts w:ascii="Times New Roman"/>
          <w:sz w:val="20"/>
        </w:rPr>
      </w:pPr>
    </w:p>
    <w:p w:rsidR="002F7516" w:rsidRDefault="00F74EFF">
      <w:pPr>
        <w:pStyle w:val="a4"/>
        <w:rPr>
          <w:u w:val="none"/>
        </w:rPr>
      </w:pPr>
      <w:r>
        <w:rPr>
          <w:color w:val="365F91"/>
          <w:u w:color="365F91"/>
        </w:rPr>
        <w:t>Όροι</w:t>
      </w:r>
      <w:r>
        <w:rPr>
          <w:color w:val="365F91"/>
          <w:spacing w:val="-4"/>
          <w:u w:color="365F91"/>
        </w:rPr>
        <w:t xml:space="preserve"> </w:t>
      </w:r>
      <w:r>
        <w:rPr>
          <w:color w:val="365F91"/>
          <w:u w:color="365F91"/>
        </w:rPr>
        <w:t>και</w:t>
      </w:r>
      <w:r>
        <w:rPr>
          <w:color w:val="365F91"/>
          <w:spacing w:val="-4"/>
          <w:u w:color="365F91"/>
        </w:rPr>
        <w:t xml:space="preserve"> </w:t>
      </w:r>
      <w:r>
        <w:rPr>
          <w:color w:val="365F91"/>
          <w:u w:color="365F91"/>
        </w:rPr>
        <w:t>προϋποθέσεις</w:t>
      </w:r>
      <w:r>
        <w:rPr>
          <w:color w:val="365F91"/>
          <w:spacing w:val="-6"/>
          <w:u w:color="365F91"/>
        </w:rPr>
        <w:t xml:space="preserve"> </w:t>
      </w:r>
      <w:r>
        <w:rPr>
          <w:color w:val="365F91"/>
          <w:u w:color="365F91"/>
        </w:rPr>
        <w:t>κατάρτισης/εξόφλησης</w:t>
      </w:r>
      <w:r>
        <w:rPr>
          <w:color w:val="365F91"/>
          <w:spacing w:val="-4"/>
          <w:u w:color="365F91"/>
        </w:rPr>
        <w:t xml:space="preserve"> </w:t>
      </w:r>
      <w:r>
        <w:rPr>
          <w:color w:val="365F91"/>
          <w:u w:color="365F91"/>
        </w:rPr>
        <w:t>συμβάσεων</w:t>
      </w:r>
    </w:p>
    <w:p w:rsidR="002F7516" w:rsidRDefault="002F7516">
      <w:pPr>
        <w:pStyle w:val="a3"/>
        <w:rPr>
          <w:b/>
          <w:sz w:val="20"/>
        </w:rPr>
      </w:pPr>
    </w:p>
    <w:p w:rsidR="002F7516" w:rsidRPr="005F7B44" w:rsidRDefault="002F7516">
      <w:pPr>
        <w:pStyle w:val="a3"/>
        <w:spacing w:before="3"/>
        <w:rPr>
          <w:b/>
          <w:sz w:val="15"/>
        </w:rPr>
      </w:pPr>
    </w:p>
    <w:p w:rsidR="0063099E" w:rsidRPr="0063099E" w:rsidRDefault="0063099E" w:rsidP="0063099E">
      <w:pPr>
        <w:pStyle w:val="a5"/>
        <w:numPr>
          <w:ilvl w:val="0"/>
          <w:numId w:val="2"/>
        </w:numPr>
        <w:rPr>
          <w:sz w:val="20"/>
          <w:szCs w:val="20"/>
        </w:rPr>
      </w:pPr>
      <w:r w:rsidRPr="0063099E">
        <w:rPr>
          <w:sz w:val="20"/>
          <w:szCs w:val="20"/>
        </w:rPr>
        <w:t xml:space="preserve">Δεν είναι δυνατή η σύναψη συμβάσεων με </w:t>
      </w:r>
      <w:r w:rsidRPr="0063099E">
        <w:rPr>
          <w:b/>
          <w:sz w:val="20"/>
          <w:szCs w:val="20"/>
        </w:rPr>
        <w:t>αναδρομική ισχύ</w:t>
      </w:r>
      <w:r w:rsidRPr="0063099E">
        <w:rPr>
          <w:sz w:val="20"/>
          <w:szCs w:val="20"/>
        </w:rPr>
        <w:t xml:space="preserve">. </w:t>
      </w:r>
    </w:p>
    <w:p w:rsidR="0063099E" w:rsidRDefault="0063099E" w:rsidP="0063099E">
      <w:pPr>
        <w:pStyle w:val="a5"/>
        <w:numPr>
          <w:ilvl w:val="0"/>
          <w:numId w:val="2"/>
        </w:numPr>
        <w:rPr>
          <w:sz w:val="20"/>
          <w:szCs w:val="20"/>
        </w:rPr>
      </w:pPr>
      <w:r w:rsidRPr="0063099E">
        <w:rPr>
          <w:sz w:val="20"/>
          <w:szCs w:val="20"/>
        </w:rPr>
        <w:t xml:space="preserve">Οι συμβάσεις καταρτίζονται βάσει των προσωπικών στοιχείων και της επαγγελματικής ιδιότητας που έχουν δηλωθεί στην καρτέλα προσωπικών στοιχείων του Μητρώου του Έργου· κατ’ επέκταση, εφαρμόζεται ο αντίστοιχος τρόπος αμοιβής και πληρωμής. Σε περίπτωση που, πέραν της κύριας επαγγελματικής ιδιότητας (π.χ. δημόσιος ή ιδιωτικός υπάλληλος), υφίσταται και ενεργή έναρξη εργασιών ως ελεύθερος επαγγελματίας στη Φορολογική Διοίκηση, </w:t>
      </w:r>
      <w:r w:rsidRPr="0063099E">
        <w:rPr>
          <w:b/>
          <w:sz w:val="20"/>
          <w:szCs w:val="20"/>
        </w:rPr>
        <w:t>υπερισχύει το καθεστώς του ελεύθερου επαγγελματία</w:t>
      </w:r>
      <w:r w:rsidRPr="0063099E">
        <w:rPr>
          <w:sz w:val="20"/>
          <w:szCs w:val="20"/>
        </w:rPr>
        <w:t xml:space="preserve">. </w:t>
      </w:r>
    </w:p>
    <w:p w:rsidR="0063099E" w:rsidRPr="0063099E" w:rsidRDefault="0063099E" w:rsidP="0063099E">
      <w:pPr>
        <w:pStyle w:val="a5"/>
        <w:numPr>
          <w:ilvl w:val="0"/>
          <w:numId w:val="2"/>
        </w:numPr>
        <w:rPr>
          <w:sz w:val="20"/>
          <w:szCs w:val="20"/>
        </w:rPr>
      </w:pPr>
      <w:r w:rsidRPr="0063099E">
        <w:rPr>
          <w:sz w:val="20"/>
          <w:szCs w:val="20"/>
        </w:rPr>
        <w:t xml:space="preserve">Σύμφωνα με την ισχύουσα νομοθεσία, για τα πρόσωπα που υπηρετούν σε φορείς του δημόσιου τομέα (μόνιμο προσωπικό, ΕΔΙΠ, ΕΤΕΠ, ΙΔΑΧ, μόνιμοι ερευνητές κ.λπ.), απαιτείται </w:t>
      </w:r>
      <w:r w:rsidRPr="0063099E">
        <w:rPr>
          <w:b/>
          <w:sz w:val="20"/>
          <w:szCs w:val="20"/>
        </w:rPr>
        <w:t>έλεγχος του ύψους της προβλεπόμενης αμοιβής</w:t>
      </w:r>
      <w:r w:rsidRPr="0063099E">
        <w:rPr>
          <w:sz w:val="20"/>
          <w:szCs w:val="20"/>
        </w:rPr>
        <w:t xml:space="preserve">, προκειμένου να διασφαλιστεί ότι δεν θα προκύψει υπέρβαση του ανώτατου ορίου μηνιαίων αποδοχών που προβλέπεται από την κείμενη νομοθεσία. </w:t>
      </w:r>
    </w:p>
    <w:p w:rsidR="0063099E" w:rsidRPr="0063099E" w:rsidRDefault="0063099E" w:rsidP="0063099E">
      <w:pPr>
        <w:pStyle w:val="a5"/>
        <w:numPr>
          <w:ilvl w:val="0"/>
          <w:numId w:val="2"/>
        </w:numPr>
        <w:rPr>
          <w:sz w:val="20"/>
          <w:szCs w:val="20"/>
        </w:rPr>
      </w:pPr>
      <w:r w:rsidRPr="0063099E">
        <w:rPr>
          <w:sz w:val="20"/>
          <w:szCs w:val="20"/>
        </w:rPr>
        <w:t xml:space="preserve">Με την Εγκύκλιο 33/2022 του e-ΕΦΚΑ, σε συνδυασμό με τις σχετικές διατάξεις της φορολογικής νομοθεσίας, επήλθαν σημαντικές μεταβολές στο καθεστώς ασφάλισης των αμειβόμενων με παραστατικό παρεχόμενων υπηρεσιών (τίτλο κτήσης). Ειδικότερα, από 01/01/2023, οι συμβάσεις προσώπων που απασχολούνται ευκαιριακά και παρεπόμενα (ενδεικτικά: ιδιωτικοί υπάλληλοι, φοιτητές, άνεργοι κ.ά.) πρέπει να έχουν </w:t>
      </w:r>
      <w:r w:rsidRPr="0063099E">
        <w:rPr>
          <w:b/>
          <w:sz w:val="20"/>
          <w:szCs w:val="20"/>
        </w:rPr>
        <w:t>μηνιαία διάρκεια</w:t>
      </w:r>
      <w:r w:rsidRPr="0063099E">
        <w:rPr>
          <w:sz w:val="20"/>
          <w:szCs w:val="20"/>
        </w:rPr>
        <w:t xml:space="preserve">, </w:t>
      </w:r>
      <w:r w:rsidRPr="0063099E">
        <w:rPr>
          <w:b/>
          <w:sz w:val="20"/>
          <w:szCs w:val="20"/>
        </w:rPr>
        <w:t>με ανώτατο όριο δύο (2) συμβάσεων ανά εξάμηνο</w:t>
      </w:r>
      <w:r w:rsidRPr="0063099E">
        <w:rPr>
          <w:sz w:val="20"/>
          <w:szCs w:val="20"/>
        </w:rPr>
        <w:t xml:space="preserve"> (Α’ εξάμηνο: Ιανουάριος – Ιούνιος, Β’ εξάμηνο: Ιούλιος – Δεκέμβριος). Παράλληλα, εξακολουθεί να ισχύει το </w:t>
      </w:r>
      <w:r w:rsidRPr="0063099E">
        <w:rPr>
          <w:sz w:val="20"/>
          <w:szCs w:val="20"/>
          <w:u w:val="single"/>
        </w:rPr>
        <w:t>φορολογικό όριο των 10.000 € ετησίως για ευκαιριακή και παρεπόμενη απασχόληση χωρίς έναρξη επαγγελματικής δραστηριότητας</w:t>
      </w:r>
      <w:r w:rsidRPr="0063099E">
        <w:rPr>
          <w:sz w:val="20"/>
          <w:szCs w:val="20"/>
        </w:rPr>
        <w:t xml:space="preserve">. </w:t>
      </w:r>
    </w:p>
    <w:p w:rsidR="0063099E" w:rsidRPr="0063099E" w:rsidRDefault="0063099E" w:rsidP="0063099E">
      <w:pPr>
        <w:pStyle w:val="a5"/>
        <w:numPr>
          <w:ilvl w:val="0"/>
          <w:numId w:val="2"/>
        </w:numPr>
        <w:rPr>
          <w:sz w:val="20"/>
          <w:szCs w:val="20"/>
        </w:rPr>
      </w:pPr>
      <w:r w:rsidRPr="0063099E">
        <w:rPr>
          <w:sz w:val="20"/>
          <w:szCs w:val="20"/>
        </w:rPr>
        <w:t xml:space="preserve">Η </w:t>
      </w:r>
      <w:r w:rsidRPr="0063099E">
        <w:rPr>
          <w:b/>
          <w:sz w:val="20"/>
          <w:szCs w:val="20"/>
        </w:rPr>
        <w:t>καταβολή των αμοιβών</w:t>
      </w:r>
      <w:r w:rsidRPr="0063099E">
        <w:rPr>
          <w:sz w:val="20"/>
          <w:szCs w:val="20"/>
        </w:rPr>
        <w:t xml:space="preserve"> των συγγραφέων του έργου ΚΑΛΛΙΠΟΣ+ πραγματοποιείται βάσει της ημερομηνίας λήξης της σύμβασης, σε συνδυασμό με τη συνολική πρόοδο του συγγραφικού έργου. </w:t>
      </w:r>
    </w:p>
    <w:p w:rsidR="0063099E" w:rsidRPr="0063099E" w:rsidRDefault="0063099E" w:rsidP="0063099E">
      <w:pPr>
        <w:pStyle w:val="a5"/>
        <w:numPr>
          <w:ilvl w:val="0"/>
          <w:numId w:val="2"/>
        </w:numPr>
        <w:rPr>
          <w:sz w:val="20"/>
          <w:szCs w:val="20"/>
        </w:rPr>
      </w:pPr>
      <w:r w:rsidRPr="0063099E">
        <w:rPr>
          <w:sz w:val="20"/>
          <w:szCs w:val="20"/>
        </w:rPr>
        <w:t xml:space="preserve">Η </w:t>
      </w:r>
      <w:r w:rsidRPr="0063099E">
        <w:rPr>
          <w:b/>
          <w:sz w:val="20"/>
          <w:szCs w:val="20"/>
        </w:rPr>
        <w:t>καταβολή των αμοιβών</w:t>
      </w:r>
      <w:r w:rsidRPr="0063099E">
        <w:rPr>
          <w:sz w:val="20"/>
          <w:szCs w:val="20"/>
        </w:rPr>
        <w:t xml:space="preserve"> των επιμελητών του έργου ΚΑΛΛΙΠΟΣ+, οι οποίοι αμείβονται είτε με τίτλο κτήσης είτε με Τιμολόγιο Παροχής Υπηρεσιών, πραγματοποιείται βάσει της ημερομηνίας λήξης της σύμβασης και της παράδοσης του αντίστοιχου παραδοτέου έργου. Ειδικότερα, για την εξόφληση μίας σύμβασης απαιτείται σωρευτικά:</w:t>
      </w:r>
      <w:r w:rsidRPr="0063099E">
        <w:rPr>
          <w:sz w:val="20"/>
          <w:szCs w:val="20"/>
        </w:rPr>
        <w:t xml:space="preserve"> </w:t>
      </w:r>
      <w:r w:rsidRPr="0063099E">
        <w:rPr>
          <w:sz w:val="20"/>
          <w:szCs w:val="20"/>
        </w:rPr>
        <w:t>α) να έχει παρέλθει η ημερομηνία λήξης της σύμβασης και</w:t>
      </w:r>
      <w:r w:rsidRPr="0063099E">
        <w:rPr>
          <w:sz w:val="20"/>
          <w:szCs w:val="20"/>
        </w:rPr>
        <w:t xml:space="preserve"> </w:t>
      </w:r>
      <w:r w:rsidRPr="0063099E">
        <w:rPr>
          <w:sz w:val="20"/>
          <w:szCs w:val="20"/>
        </w:rPr>
        <w:t xml:space="preserve">β) να έχει παραδοθεί έργο επιμέλειας ισόποσης αξίας με τη συμβατική αμοιβή. </w:t>
      </w:r>
    </w:p>
    <w:p w:rsidR="0063099E" w:rsidRPr="0063099E" w:rsidRDefault="0063099E" w:rsidP="0063099E">
      <w:pPr>
        <w:pStyle w:val="a5"/>
        <w:numPr>
          <w:ilvl w:val="0"/>
          <w:numId w:val="2"/>
        </w:numPr>
        <w:rPr>
          <w:sz w:val="20"/>
          <w:szCs w:val="20"/>
        </w:rPr>
      </w:pPr>
      <w:r w:rsidRPr="0063099E">
        <w:rPr>
          <w:b/>
          <w:sz w:val="20"/>
          <w:szCs w:val="20"/>
        </w:rPr>
        <w:t>Για την έναρξη της διαδικασίας εξόφλησης των συμβάσεων</w:t>
      </w:r>
      <w:r w:rsidRPr="0063099E">
        <w:rPr>
          <w:sz w:val="20"/>
          <w:szCs w:val="20"/>
        </w:rPr>
        <w:t xml:space="preserve">, υπό τις ανωτέρω προϋποθέσεις, αποστέλλεται από την Κεντρική Ομάδα Υποστήριξης του Έργου εξατομικευμένη ενημέρωση για την υποβολή των απαιτούμενων δικαιολογητικών στη διεύθυνση ηλεκτρονικού ταχυδρομείου </w:t>
      </w:r>
      <w:proofErr w:type="spellStart"/>
      <w:r w:rsidRPr="0063099E">
        <w:rPr>
          <w:sz w:val="20"/>
          <w:szCs w:val="20"/>
        </w:rPr>
        <w:t>contact@kallipos.gr</w:t>
      </w:r>
      <w:proofErr w:type="spellEnd"/>
      <w:r w:rsidRPr="0063099E">
        <w:rPr>
          <w:sz w:val="20"/>
          <w:szCs w:val="20"/>
        </w:rPr>
        <w:t xml:space="preserve">. Ο τελικός έλεγχος των δικαιολογητικών, καθώς και η οριστική διεκπεραίωση των ενταλμάτων πληρωμής, πραγματοποιούνται από τις αρμόδιες υπηρεσίες του ΕΛΚΕ ΕΜΠ μέσω της Ενιαίας Αρχής Πληρωμών. Η ολοκλήρωση της διαδικασίας εξόφλησης απαιτεί χρονικό διάστημα περίπου ενός (1) έως ενάμιση (1,5) μήνα από την ημερομηνία παραλαβής των σχετικών δικαιολογητικών. </w:t>
      </w:r>
    </w:p>
    <w:p w:rsidR="0063099E" w:rsidRDefault="0063099E" w:rsidP="0063099E">
      <w:pPr>
        <w:pStyle w:val="a5"/>
        <w:numPr>
          <w:ilvl w:val="0"/>
          <w:numId w:val="2"/>
        </w:numPr>
        <w:rPr>
          <w:sz w:val="20"/>
          <w:szCs w:val="20"/>
        </w:rPr>
      </w:pPr>
      <w:r w:rsidRPr="0063099E">
        <w:rPr>
          <w:sz w:val="20"/>
          <w:szCs w:val="20"/>
        </w:rPr>
        <w:t xml:space="preserve">Σε περίπτωση μεταβολής των προσωπικών στοιχείων, οι συνεργάτες οφείλουν να </w:t>
      </w:r>
      <w:proofErr w:type="spellStart"/>
      <w:r w:rsidRPr="0063099E">
        <w:rPr>
          <w:sz w:val="20"/>
          <w:szCs w:val="20"/>
        </w:rPr>
        <w:t>επικαιροποιούν</w:t>
      </w:r>
      <w:proofErr w:type="spellEnd"/>
      <w:r w:rsidRPr="0063099E">
        <w:rPr>
          <w:sz w:val="20"/>
          <w:szCs w:val="20"/>
        </w:rPr>
        <w:t xml:space="preserve"> άμεσα την αντίστοιχη καρτέλα στο Μητρώο του Έργου και, παράλληλα, να ενημερώνουν σχετικά στη διεύθυνση ηλεκτρονικού ταχυδρομείου </w:t>
      </w:r>
      <w:proofErr w:type="spellStart"/>
      <w:r w:rsidRPr="0063099E">
        <w:rPr>
          <w:sz w:val="20"/>
          <w:szCs w:val="20"/>
        </w:rPr>
        <w:t>contact@kallipos.gr</w:t>
      </w:r>
      <w:proofErr w:type="spellEnd"/>
      <w:r w:rsidRPr="0063099E">
        <w:rPr>
          <w:sz w:val="20"/>
          <w:szCs w:val="20"/>
        </w:rPr>
        <w:t xml:space="preserve">. </w:t>
      </w:r>
    </w:p>
    <w:p w:rsidR="00A00A47" w:rsidRPr="0063099E" w:rsidRDefault="00A00A47" w:rsidP="00A00A47">
      <w:pPr>
        <w:pStyle w:val="a5"/>
        <w:ind w:left="720"/>
        <w:rPr>
          <w:sz w:val="20"/>
          <w:szCs w:val="20"/>
        </w:rPr>
      </w:pPr>
    </w:p>
    <w:p w:rsidR="0063099E" w:rsidRPr="00A00A47" w:rsidRDefault="0063099E" w:rsidP="00A00A47">
      <w:pPr>
        <w:spacing w:line="276" w:lineRule="auto"/>
        <w:ind w:left="120" w:right="116"/>
        <w:jc w:val="both"/>
        <w:rPr>
          <w:rFonts w:asciiTheme="minorHAnsi" w:hAnsiTheme="minorHAnsi" w:cstheme="minorHAnsi"/>
          <w:b/>
          <w:color w:val="333333"/>
        </w:rPr>
      </w:pPr>
      <w:r w:rsidRPr="00A00A47">
        <w:rPr>
          <w:rFonts w:asciiTheme="minorHAnsi" w:hAnsiTheme="minorHAnsi" w:cstheme="minorHAnsi"/>
          <w:b/>
          <w:color w:val="333333"/>
        </w:rPr>
        <w:t>Σημειώνεται ότι όλες οι συμβάσεις που συνάπτονται στο πλαίσιο του έργου «Ανοικτά Ακαδημαϊκά Ηλεκτρονικά Συγγράμματα ΚΑΛΛΙΠΟΣ+» συντονίζονται κεντρικά και υπογράφονται από τον Επιστημονικά Υπεύθυνο του Έργου.</w:t>
      </w:r>
    </w:p>
    <w:p w:rsidR="00C045F7" w:rsidRPr="00A00A47" w:rsidRDefault="00C045F7" w:rsidP="00A00A47">
      <w:pPr>
        <w:spacing w:line="276" w:lineRule="auto"/>
        <w:ind w:left="120" w:right="116"/>
        <w:jc w:val="both"/>
        <w:rPr>
          <w:rFonts w:asciiTheme="minorHAnsi" w:hAnsiTheme="minorHAnsi" w:cstheme="minorHAnsi"/>
          <w:b/>
          <w:color w:val="333333"/>
        </w:rPr>
      </w:pPr>
    </w:p>
    <w:p w:rsidR="00A00A47" w:rsidRDefault="00A00A47" w:rsidP="0063099E">
      <w:pPr>
        <w:pStyle w:val="a5"/>
        <w:ind w:left="720"/>
        <w:rPr>
          <w:sz w:val="20"/>
          <w:szCs w:val="20"/>
        </w:rPr>
      </w:pPr>
      <w:bookmarkStart w:id="0" w:name="_GoBack"/>
      <w:bookmarkEnd w:id="0"/>
    </w:p>
    <w:p w:rsidR="00A00A47" w:rsidRPr="00C045F7" w:rsidRDefault="00A00A47" w:rsidP="0063099E">
      <w:pPr>
        <w:pStyle w:val="a5"/>
        <w:ind w:left="720"/>
        <w:rPr>
          <w:sz w:val="20"/>
          <w:szCs w:val="20"/>
        </w:rPr>
      </w:pPr>
    </w:p>
    <w:sectPr w:rsidR="00A00A47" w:rsidRPr="00C045F7">
      <w:type w:val="continuous"/>
      <w:pgSz w:w="11910" w:h="16840"/>
      <w:pgMar w:top="56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51C"/>
    <w:multiLevelType w:val="multilevel"/>
    <w:tmpl w:val="A832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804250"/>
    <w:multiLevelType w:val="hybridMultilevel"/>
    <w:tmpl w:val="6518CC9C"/>
    <w:lvl w:ilvl="0" w:tplc="34E8F1BE">
      <w:start w:val="1"/>
      <w:numFmt w:val="decimal"/>
      <w:lvlText w:val="%1."/>
      <w:lvlJc w:val="left"/>
      <w:pPr>
        <w:ind w:left="341" w:hanging="221"/>
      </w:pPr>
      <w:rPr>
        <w:rFonts w:ascii="Calibri" w:eastAsia="Calibri" w:hAnsi="Calibri" w:cs="Calibri" w:hint="default"/>
        <w:b/>
        <w:bCs/>
        <w:w w:val="100"/>
        <w:sz w:val="22"/>
        <w:szCs w:val="22"/>
        <w:lang w:val="el-GR" w:eastAsia="en-US" w:bidi="ar-SA"/>
      </w:rPr>
    </w:lvl>
    <w:lvl w:ilvl="1" w:tplc="C428E814">
      <w:numFmt w:val="bullet"/>
      <w:lvlText w:val="•"/>
      <w:lvlJc w:val="left"/>
      <w:pPr>
        <w:ind w:left="1160" w:hanging="221"/>
      </w:pPr>
      <w:rPr>
        <w:rFonts w:hint="default"/>
        <w:lang w:val="el-GR" w:eastAsia="en-US" w:bidi="ar-SA"/>
      </w:rPr>
    </w:lvl>
    <w:lvl w:ilvl="2" w:tplc="C7720C42">
      <w:numFmt w:val="bullet"/>
      <w:lvlText w:val="•"/>
      <w:lvlJc w:val="left"/>
      <w:pPr>
        <w:ind w:left="1981" w:hanging="221"/>
      </w:pPr>
      <w:rPr>
        <w:rFonts w:hint="default"/>
        <w:lang w:val="el-GR" w:eastAsia="en-US" w:bidi="ar-SA"/>
      </w:rPr>
    </w:lvl>
    <w:lvl w:ilvl="3" w:tplc="98B842C6">
      <w:numFmt w:val="bullet"/>
      <w:lvlText w:val="•"/>
      <w:lvlJc w:val="left"/>
      <w:pPr>
        <w:ind w:left="2801" w:hanging="221"/>
      </w:pPr>
      <w:rPr>
        <w:rFonts w:hint="default"/>
        <w:lang w:val="el-GR" w:eastAsia="en-US" w:bidi="ar-SA"/>
      </w:rPr>
    </w:lvl>
    <w:lvl w:ilvl="4" w:tplc="379CBD34">
      <w:numFmt w:val="bullet"/>
      <w:lvlText w:val="•"/>
      <w:lvlJc w:val="left"/>
      <w:pPr>
        <w:ind w:left="3622" w:hanging="221"/>
      </w:pPr>
      <w:rPr>
        <w:rFonts w:hint="default"/>
        <w:lang w:val="el-GR" w:eastAsia="en-US" w:bidi="ar-SA"/>
      </w:rPr>
    </w:lvl>
    <w:lvl w:ilvl="5" w:tplc="14EAA9C2">
      <w:numFmt w:val="bullet"/>
      <w:lvlText w:val="•"/>
      <w:lvlJc w:val="left"/>
      <w:pPr>
        <w:ind w:left="4443" w:hanging="221"/>
      </w:pPr>
      <w:rPr>
        <w:rFonts w:hint="default"/>
        <w:lang w:val="el-GR" w:eastAsia="en-US" w:bidi="ar-SA"/>
      </w:rPr>
    </w:lvl>
    <w:lvl w:ilvl="6" w:tplc="2684F736">
      <w:numFmt w:val="bullet"/>
      <w:lvlText w:val="•"/>
      <w:lvlJc w:val="left"/>
      <w:pPr>
        <w:ind w:left="5263" w:hanging="221"/>
      </w:pPr>
      <w:rPr>
        <w:rFonts w:hint="default"/>
        <w:lang w:val="el-GR" w:eastAsia="en-US" w:bidi="ar-SA"/>
      </w:rPr>
    </w:lvl>
    <w:lvl w:ilvl="7" w:tplc="8430A36E">
      <w:numFmt w:val="bullet"/>
      <w:lvlText w:val="•"/>
      <w:lvlJc w:val="left"/>
      <w:pPr>
        <w:ind w:left="6084" w:hanging="221"/>
      </w:pPr>
      <w:rPr>
        <w:rFonts w:hint="default"/>
        <w:lang w:val="el-GR" w:eastAsia="en-US" w:bidi="ar-SA"/>
      </w:rPr>
    </w:lvl>
    <w:lvl w:ilvl="8" w:tplc="5B6A5BE4">
      <w:numFmt w:val="bullet"/>
      <w:lvlText w:val="•"/>
      <w:lvlJc w:val="left"/>
      <w:pPr>
        <w:ind w:left="6905" w:hanging="221"/>
      </w:pPr>
      <w:rPr>
        <w:rFonts w:hint="default"/>
        <w:lang w:val="el-GR" w:eastAsia="en-US" w:bidi="ar-SA"/>
      </w:rPr>
    </w:lvl>
  </w:abstractNum>
  <w:abstractNum w:abstractNumId="2">
    <w:nsid w:val="74C574FD"/>
    <w:multiLevelType w:val="hybridMultilevel"/>
    <w:tmpl w:val="CA2EF2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F7516"/>
    <w:rsid w:val="000522F2"/>
    <w:rsid w:val="00064E39"/>
    <w:rsid w:val="000B6805"/>
    <w:rsid w:val="00187570"/>
    <w:rsid w:val="001C6FE1"/>
    <w:rsid w:val="002C32B2"/>
    <w:rsid w:val="002F7516"/>
    <w:rsid w:val="003146E1"/>
    <w:rsid w:val="003B4E3E"/>
    <w:rsid w:val="003F341D"/>
    <w:rsid w:val="00443588"/>
    <w:rsid w:val="0047763B"/>
    <w:rsid w:val="00520302"/>
    <w:rsid w:val="00587456"/>
    <w:rsid w:val="005B1947"/>
    <w:rsid w:val="005F7B44"/>
    <w:rsid w:val="0063099E"/>
    <w:rsid w:val="00634E4B"/>
    <w:rsid w:val="00693AF1"/>
    <w:rsid w:val="007130E8"/>
    <w:rsid w:val="007C3F3B"/>
    <w:rsid w:val="00820C79"/>
    <w:rsid w:val="00842C9D"/>
    <w:rsid w:val="00904B4E"/>
    <w:rsid w:val="0098206A"/>
    <w:rsid w:val="00A00A47"/>
    <w:rsid w:val="00A77BE4"/>
    <w:rsid w:val="00A84184"/>
    <w:rsid w:val="00AB733E"/>
    <w:rsid w:val="00B82219"/>
    <w:rsid w:val="00C045F7"/>
    <w:rsid w:val="00C47805"/>
    <w:rsid w:val="00C95157"/>
    <w:rsid w:val="00D022F8"/>
    <w:rsid w:val="00D64987"/>
    <w:rsid w:val="00D97C16"/>
    <w:rsid w:val="00DB4135"/>
    <w:rsid w:val="00EB452A"/>
    <w:rsid w:val="00F74EFF"/>
    <w:rsid w:val="00FB5F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207"/>
      <w:ind w:left="1253" w:right="1255"/>
      <w:jc w:val="center"/>
    </w:pPr>
    <w:rPr>
      <w:b/>
      <w:bCs/>
      <w:sz w:val="24"/>
      <w:szCs w:val="24"/>
      <w:u w:val="single" w:color="000000"/>
    </w:rPr>
  </w:style>
  <w:style w:type="paragraph" w:styleId="a5">
    <w:name w:val="List Paragraph"/>
    <w:basedOn w:val="a"/>
    <w:uiPriority w:val="1"/>
    <w:qFormat/>
    <w:pPr>
      <w:spacing w:before="121"/>
      <w:ind w:left="120" w:right="114"/>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904B4E"/>
    <w:rPr>
      <w:rFonts w:ascii="Tahoma" w:hAnsi="Tahoma" w:cs="Tahoma"/>
      <w:sz w:val="16"/>
      <w:szCs w:val="16"/>
    </w:rPr>
  </w:style>
  <w:style w:type="character" w:customStyle="1" w:styleId="Char">
    <w:name w:val="Κείμενο πλαισίου Char"/>
    <w:basedOn w:val="a0"/>
    <w:link w:val="a6"/>
    <w:uiPriority w:val="99"/>
    <w:semiHidden/>
    <w:rsid w:val="00904B4E"/>
    <w:rPr>
      <w:rFonts w:ascii="Tahoma" w:eastAsia="Calibri" w:hAnsi="Tahoma" w:cs="Tahoma"/>
      <w:sz w:val="16"/>
      <w:szCs w:val="16"/>
      <w:lang w:val="el-GR"/>
    </w:rPr>
  </w:style>
  <w:style w:type="character" w:styleId="-">
    <w:name w:val="Hyperlink"/>
    <w:basedOn w:val="a0"/>
    <w:uiPriority w:val="99"/>
    <w:unhideWhenUsed/>
    <w:rsid w:val="005B19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207"/>
      <w:ind w:left="1253" w:right="1255"/>
      <w:jc w:val="center"/>
    </w:pPr>
    <w:rPr>
      <w:b/>
      <w:bCs/>
      <w:sz w:val="24"/>
      <w:szCs w:val="24"/>
      <w:u w:val="single" w:color="000000"/>
    </w:rPr>
  </w:style>
  <w:style w:type="paragraph" w:styleId="a5">
    <w:name w:val="List Paragraph"/>
    <w:basedOn w:val="a"/>
    <w:uiPriority w:val="1"/>
    <w:qFormat/>
    <w:pPr>
      <w:spacing w:before="121"/>
      <w:ind w:left="120" w:right="114"/>
      <w:jc w:val="both"/>
    </w:pPr>
  </w:style>
  <w:style w:type="paragraph" w:customStyle="1" w:styleId="TableParagraph">
    <w:name w:val="Table Paragraph"/>
    <w:basedOn w:val="a"/>
    <w:uiPriority w:val="1"/>
    <w:qFormat/>
  </w:style>
  <w:style w:type="paragraph" w:styleId="a6">
    <w:name w:val="Balloon Text"/>
    <w:basedOn w:val="a"/>
    <w:link w:val="Char"/>
    <w:uiPriority w:val="99"/>
    <w:semiHidden/>
    <w:unhideWhenUsed/>
    <w:rsid w:val="00904B4E"/>
    <w:rPr>
      <w:rFonts w:ascii="Tahoma" w:hAnsi="Tahoma" w:cs="Tahoma"/>
      <w:sz w:val="16"/>
      <w:szCs w:val="16"/>
    </w:rPr>
  </w:style>
  <w:style w:type="character" w:customStyle="1" w:styleId="Char">
    <w:name w:val="Κείμενο πλαισίου Char"/>
    <w:basedOn w:val="a0"/>
    <w:link w:val="a6"/>
    <w:uiPriority w:val="99"/>
    <w:semiHidden/>
    <w:rsid w:val="00904B4E"/>
    <w:rPr>
      <w:rFonts w:ascii="Tahoma" w:eastAsia="Calibri" w:hAnsi="Tahoma" w:cs="Tahoma"/>
      <w:sz w:val="16"/>
      <w:szCs w:val="16"/>
      <w:lang w:val="el-GR"/>
    </w:rPr>
  </w:style>
  <w:style w:type="character" w:styleId="-">
    <w:name w:val="Hyperlink"/>
    <w:basedOn w:val="a0"/>
    <w:uiPriority w:val="99"/>
    <w:unhideWhenUsed/>
    <w:rsid w:val="005B1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48517">
      <w:bodyDiv w:val="1"/>
      <w:marLeft w:val="0"/>
      <w:marRight w:val="0"/>
      <w:marTop w:val="0"/>
      <w:marBottom w:val="0"/>
      <w:divBdr>
        <w:top w:val="none" w:sz="0" w:space="0" w:color="auto"/>
        <w:left w:val="none" w:sz="0" w:space="0" w:color="auto"/>
        <w:bottom w:val="none" w:sz="0" w:space="0" w:color="auto"/>
        <w:right w:val="none" w:sz="0" w:space="0" w:color="auto"/>
      </w:divBdr>
      <w:divsChild>
        <w:div w:id="184297889">
          <w:marLeft w:val="0"/>
          <w:marRight w:val="0"/>
          <w:marTop w:val="0"/>
          <w:marBottom w:val="0"/>
          <w:divBdr>
            <w:top w:val="none" w:sz="0" w:space="0" w:color="auto"/>
            <w:left w:val="none" w:sz="0" w:space="0" w:color="auto"/>
            <w:bottom w:val="none" w:sz="0" w:space="0" w:color="auto"/>
            <w:right w:val="none" w:sz="0" w:space="0" w:color="auto"/>
          </w:divBdr>
          <w:divsChild>
            <w:div w:id="833256497">
              <w:marLeft w:val="0"/>
              <w:marRight w:val="0"/>
              <w:marTop w:val="0"/>
              <w:marBottom w:val="0"/>
              <w:divBdr>
                <w:top w:val="none" w:sz="0" w:space="0" w:color="auto"/>
                <w:left w:val="none" w:sz="0" w:space="0" w:color="auto"/>
                <w:bottom w:val="none" w:sz="0" w:space="0" w:color="auto"/>
                <w:right w:val="none" w:sz="0" w:space="0" w:color="auto"/>
              </w:divBdr>
              <w:divsChild>
                <w:div w:id="1557742298">
                  <w:marLeft w:val="0"/>
                  <w:marRight w:val="0"/>
                  <w:marTop w:val="0"/>
                  <w:marBottom w:val="0"/>
                  <w:divBdr>
                    <w:top w:val="none" w:sz="0" w:space="0" w:color="auto"/>
                    <w:left w:val="none" w:sz="0" w:space="0" w:color="auto"/>
                    <w:bottom w:val="none" w:sz="0" w:space="0" w:color="auto"/>
                    <w:right w:val="none" w:sz="0" w:space="0" w:color="auto"/>
                  </w:divBdr>
                  <w:divsChild>
                    <w:div w:id="732703846">
                      <w:marLeft w:val="0"/>
                      <w:marRight w:val="0"/>
                      <w:marTop w:val="0"/>
                      <w:marBottom w:val="0"/>
                      <w:divBdr>
                        <w:top w:val="none" w:sz="0" w:space="0" w:color="auto"/>
                        <w:left w:val="none" w:sz="0" w:space="0" w:color="auto"/>
                        <w:bottom w:val="none" w:sz="0" w:space="0" w:color="auto"/>
                        <w:right w:val="none" w:sz="0" w:space="0" w:color="auto"/>
                      </w:divBdr>
                      <w:divsChild>
                        <w:div w:id="2146195416">
                          <w:marLeft w:val="0"/>
                          <w:marRight w:val="0"/>
                          <w:marTop w:val="0"/>
                          <w:marBottom w:val="0"/>
                          <w:divBdr>
                            <w:top w:val="none" w:sz="0" w:space="0" w:color="auto"/>
                            <w:left w:val="none" w:sz="0" w:space="0" w:color="auto"/>
                            <w:bottom w:val="none" w:sz="0" w:space="0" w:color="auto"/>
                            <w:right w:val="none" w:sz="0" w:space="0" w:color="auto"/>
                          </w:divBdr>
                          <w:divsChild>
                            <w:div w:id="879126922">
                              <w:marLeft w:val="0"/>
                              <w:marRight w:val="0"/>
                              <w:marTop w:val="0"/>
                              <w:marBottom w:val="0"/>
                              <w:divBdr>
                                <w:top w:val="none" w:sz="0" w:space="0" w:color="auto"/>
                                <w:left w:val="none" w:sz="0" w:space="0" w:color="auto"/>
                                <w:bottom w:val="none" w:sz="0" w:space="0" w:color="auto"/>
                                <w:right w:val="none" w:sz="0" w:space="0" w:color="auto"/>
                              </w:divBdr>
                              <w:divsChild>
                                <w:div w:id="1375469899">
                                  <w:marLeft w:val="0"/>
                                  <w:marRight w:val="0"/>
                                  <w:marTop w:val="0"/>
                                  <w:marBottom w:val="0"/>
                                  <w:divBdr>
                                    <w:top w:val="none" w:sz="0" w:space="0" w:color="auto"/>
                                    <w:left w:val="none" w:sz="0" w:space="0" w:color="auto"/>
                                    <w:bottom w:val="none" w:sz="0" w:space="0" w:color="auto"/>
                                    <w:right w:val="none" w:sz="0" w:space="0" w:color="auto"/>
                                  </w:divBdr>
                                  <w:divsChild>
                                    <w:div w:id="5212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3364</TotalTime>
  <Pages>1</Pages>
  <Words>521</Words>
  <Characters>2814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Ξανθίππη Αποστόλου</dc:creator>
  <cp:lastModifiedBy>XANTHIPPI APOSTOLOU</cp:lastModifiedBy>
  <cp:revision>5</cp:revision>
  <cp:lastPrinted>2024-03-01T17:31:00Z</cp:lastPrinted>
  <dcterms:created xsi:type="dcterms:W3CDTF">2026-05-22T07:31:00Z</dcterms:created>
  <dcterms:modified xsi:type="dcterms:W3CDTF">2026-05-25T18:25:00Z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for Microsoft 365</vt:lpwstr>
  </property>
  <property fmtid="{D5CDD505-2E9C-101B-9397-08002B2CF9AE}" pid="4" name="LastSaved">
    <vt:filetime>2024-01-12T00:00:00Z</vt:filetime>
  </property>
</Properties>
</file>